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85B153" w14:textId="474EE89A" w:rsidR="00B764A3" w:rsidRPr="00B55935" w:rsidRDefault="00B764A3" w:rsidP="00B764A3">
      <w:pPr>
        <w:pStyle w:val="Header"/>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w:t>
      </w:r>
      <w:r w:rsidR="00FF2643">
        <w:rPr>
          <w:rFonts w:ascii="Calibri" w:eastAsia="新細明體" w:hAnsi="Calibri" w:cs="Arial"/>
          <w:noProof w:val="0"/>
          <w:sz w:val="24"/>
          <w:szCs w:val="24"/>
          <w:lang w:eastAsia="ja-JP"/>
        </w:rPr>
        <w:t>95</w:t>
      </w:r>
      <w:r>
        <w:rPr>
          <w:rFonts w:ascii="Calibri" w:eastAsia="新細明體" w:hAnsi="Calibri" w:cs="Arial"/>
          <w:noProof w:val="0"/>
          <w:sz w:val="24"/>
          <w:szCs w:val="24"/>
          <w:lang w:eastAsia="ja-JP"/>
        </w:rPr>
        <w:t>-e</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w:t>
      </w:r>
      <w:bookmarkStart w:id="0" w:name="_GoBack"/>
      <w:r w:rsidR="00AD4577" w:rsidRPr="00AD4577">
        <w:rPr>
          <w:rFonts w:ascii="Calibri" w:eastAsia="新細明體" w:hAnsi="Calibri" w:cs="Arial"/>
          <w:noProof w:val="0"/>
          <w:sz w:val="24"/>
          <w:szCs w:val="24"/>
          <w:lang w:eastAsia="ja-JP"/>
        </w:rPr>
        <w:t>R4-2006888</w:t>
      </w:r>
      <w:bookmarkEnd w:id="0"/>
    </w:p>
    <w:p w14:paraId="6AA77177" w14:textId="77777777" w:rsidR="00FF2643" w:rsidRPr="00FF2643" w:rsidRDefault="00FF2643" w:rsidP="00FF2643">
      <w:pPr>
        <w:spacing w:after="60"/>
        <w:ind w:left="1985" w:hanging="1985"/>
        <w:rPr>
          <w:rFonts w:cs="Arial"/>
          <w:b/>
          <w:bCs/>
          <w:sz w:val="24"/>
          <w:szCs w:val="24"/>
        </w:rPr>
      </w:pPr>
      <w:r w:rsidRPr="00FF2643">
        <w:rPr>
          <w:rFonts w:cs="Arial"/>
          <w:b/>
          <w:bCs/>
          <w:sz w:val="24"/>
          <w:szCs w:val="24"/>
        </w:rPr>
        <w:t>Electronic Meeting, 25</w:t>
      </w:r>
      <w:r w:rsidRPr="00FF2643">
        <w:rPr>
          <w:rFonts w:cs="Arial"/>
          <w:b/>
          <w:bCs/>
          <w:sz w:val="24"/>
          <w:szCs w:val="24"/>
          <w:vertAlign w:val="superscript"/>
        </w:rPr>
        <w:t>th</w:t>
      </w:r>
      <w:r w:rsidRPr="00FF2643">
        <w:rPr>
          <w:rFonts w:cs="Arial"/>
          <w:b/>
          <w:bCs/>
          <w:sz w:val="24"/>
          <w:szCs w:val="24"/>
        </w:rPr>
        <w:t xml:space="preserve"> May – 5</w:t>
      </w:r>
      <w:r w:rsidRPr="00FF2643">
        <w:rPr>
          <w:rFonts w:cs="Arial"/>
          <w:b/>
          <w:bCs/>
          <w:sz w:val="24"/>
          <w:szCs w:val="24"/>
          <w:vertAlign w:val="superscript"/>
        </w:rPr>
        <w:t>th</w:t>
      </w:r>
      <w:r w:rsidRPr="00FF2643">
        <w:rPr>
          <w:rFonts w:cs="Arial"/>
          <w:b/>
          <w:bCs/>
          <w:sz w:val="24"/>
          <w:szCs w:val="24"/>
        </w:rPr>
        <w:t xml:space="preserve"> June, 2020</w:t>
      </w:r>
    </w:p>
    <w:p w14:paraId="0426E601" w14:textId="77777777" w:rsidR="002E58D2" w:rsidRPr="00F93A55" w:rsidRDefault="002E58D2" w:rsidP="002E58D2">
      <w:pPr>
        <w:pStyle w:val="Header"/>
        <w:rPr>
          <w:rFonts w:ascii="Calibri" w:eastAsia="新細明體" w:hAnsi="Calibri"/>
          <w:sz w:val="24"/>
          <w:highlight w:val="yellow"/>
          <w:lang w:val="en-GB" w:eastAsia="zh-TW"/>
        </w:rPr>
      </w:pPr>
    </w:p>
    <w:p w14:paraId="6352570E" w14:textId="768230A8" w:rsidR="00FB1EA3" w:rsidRPr="00F52EE4" w:rsidRDefault="00FB1EA3" w:rsidP="00FB1EA3">
      <w:pPr>
        <w:ind w:left="1985" w:hanging="1985"/>
        <w:rPr>
          <w:rFonts w:cs="Arial"/>
          <w:b/>
          <w:bCs/>
        </w:rPr>
      </w:pPr>
      <w:r w:rsidRPr="00C57C45">
        <w:rPr>
          <w:rFonts w:cs="Arial"/>
          <w:b/>
          <w:bCs/>
        </w:rPr>
        <w:t>Agenda Item:</w:t>
      </w:r>
      <w:r w:rsidRPr="00C57C45">
        <w:rPr>
          <w:rFonts w:cs="Arial"/>
          <w:b/>
          <w:bCs/>
        </w:rPr>
        <w:tab/>
      </w:r>
      <w:r w:rsidR="00AD4577" w:rsidRPr="00AD4577">
        <w:rPr>
          <w:rFonts w:cs="Arial"/>
          <w:b/>
          <w:bCs/>
        </w:rPr>
        <w:t>6.15.1.5</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021BF28B" w:rsidR="00174EC2" w:rsidRDefault="0034111C" w:rsidP="007A4FCF">
      <w:pPr>
        <w:ind w:left="1985" w:hanging="1985"/>
        <w:rPr>
          <w:rFonts w:cs="Arial"/>
          <w:b/>
          <w:bCs/>
        </w:rPr>
      </w:pPr>
      <w:r w:rsidRPr="000C45FD">
        <w:rPr>
          <w:rFonts w:cs="Arial"/>
          <w:b/>
          <w:bCs/>
        </w:rPr>
        <w:t>Title:</w:t>
      </w:r>
      <w:r w:rsidRPr="000C45FD">
        <w:rPr>
          <w:rFonts w:cs="Arial"/>
          <w:b/>
          <w:bCs/>
        </w:rPr>
        <w:tab/>
      </w:r>
      <w:r w:rsidR="00333F93" w:rsidRPr="00333F93">
        <w:rPr>
          <w:rFonts w:cs="Arial"/>
          <w:b/>
          <w:bCs/>
        </w:rPr>
        <w:t xml:space="preserve">Inter-frequency measurement requirement without </w:t>
      </w:r>
      <w:r w:rsidR="0091176C">
        <w:rPr>
          <w:rFonts w:cs="Arial"/>
          <w:b/>
          <w:bCs/>
        </w:rPr>
        <w:t>gap</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7740C0AF" w14:textId="68A10F16" w:rsidR="00800F6E" w:rsidRDefault="002A2ED1"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lang w:val="en-GB"/>
        </w:rPr>
        <w:t>In last meeting, a</w:t>
      </w:r>
      <w:r w:rsidR="00CA75E5">
        <w:rPr>
          <w:rFonts w:asciiTheme="minorHAnsi" w:eastAsiaTheme="minorEastAsia" w:hAnsiTheme="minorHAnsi" w:cstheme="minorBidi"/>
          <w:color w:val="auto"/>
          <w:sz w:val="22"/>
          <w:szCs w:val="22"/>
        </w:rPr>
        <w:t xml:space="preserve"> W</w:t>
      </w:r>
      <w:r w:rsidR="00463857">
        <w:rPr>
          <w:rFonts w:asciiTheme="minorHAnsi" w:eastAsiaTheme="minorEastAsia" w:hAnsiTheme="minorHAnsi" w:cstheme="minorBidi"/>
          <w:color w:val="auto"/>
          <w:sz w:val="22"/>
          <w:szCs w:val="22"/>
        </w:rPr>
        <w:t>F</w:t>
      </w:r>
      <w:r w:rsidR="00CA75E5">
        <w:rPr>
          <w:rFonts w:asciiTheme="minorHAnsi" w:eastAsiaTheme="minorEastAsia" w:hAnsiTheme="minorHAnsi" w:cstheme="minorBidi"/>
          <w:color w:val="auto"/>
          <w:sz w:val="22"/>
          <w:szCs w:val="22"/>
        </w:rPr>
        <w:t xml:space="preserve"> [1] was agreed </w:t>
      </w:r>
      <w:r w:rsidR="00C60C76">
        <w:rPr>
          <w:rFonts w:asciiTheme="minorHAnsi" w:eastAsiaTheme="minorEastAsia" w:hAnsiTheme="minorHAnsi" w:cstheme="minorBidi"/>
          <w:color w:val="auto"/>
          <w:sz w:val="22"/>
          <w:szCs w:val="22"/>
        </w:rPr>
        <w:t>to capture the conclusions of the discussion as well as the open issues to be further addressed in this meeting. In short the open issues are</w:t>
      </w:r>
      <w:r w:rsidR="00CA75E5">
        <w:rPr>
          <w:rFonts w:asciiTheme="minorHAnsi" w:eastAsiaTheme="minorEastAsia" w:hAnsiTheme="minorHAnsi" w:cstheme="minorBidi"/>
          <w:color w:val="auto"/>
          <w:sz w:val="22"/>
          <w:szCs w:val="22"/>
        </w:rPr>
        <w:t xml:space="preserve"> </w:t>
      </w:r>
    </w:p>
    <w:tbl>
      <w:tblPr>
        <w:tblStyle w:val="TableGrid"/>
        <w:tblW w:w="0" w:type="auto"/>
        <w:tblInd w:w="284" w:type="dxa"/>
        <w:tblLook w:val="04A0" w:firstRow="1" w:lastRow="0" w:firstColumn="1" w:lastColumn="0" w:noHBand="0" w:noVBand="1"/>
      </w:tblPr>
      <w:tblGrid>
        <w:gridCol w:w="9345"/>
      </w:tblGrid>
      <w:tr w:rsidR="00800F6E" w14:paraId="74A90E45" w14:textId="77777777" w:rsidTr="00800F6E">
        <w:tc>
          <w:tcPr>
            <w:tcW w:w="9629" w:type="dxa"/>
          </w:tcPr>
          <w:p w14:paraId="531D1CF8" w14:textId="26756F5F" w:rsidR="00FF2643" w:rsidRPr="00F87F70" w:rsidRDefault="001762D4" w:rsidP="00FF2643">
            <w:pPr>
              <w:pStyle w:val="Default"/>
              <w:jc w:val="both"/>
              <w:rPr>
                <w:rFonts w:asciiTheme="minorHAnsi" w:eastAsiaTheme="minorEastAsia" w:hAnsiTheme="minorHAnsi" w:cstheme="minorBidi"/>
                <w:color w:val="auto"/>
                <w:sz w:val="22"/>
                <w:szCs w:val="22"/>
              </w:rPr>
            </w:pPr>
            <w:r w:rsidRPr="001762D4">
              <w:rPr>
                <w:rFonts w:asciiTheme="minorHAnsi" w:eastAsiaTheme="minorEastAsia" w:hAnsiTheme="minorHAnsi" w:cstheme="minorBidi"/>
                <w:b/>
                <w:color w:val="auto"/>
                <w:sz w:val="22"/>
                <w:szCs w:val="22"/>
                <w:u w:val="single"/>
                <w:lang w:val="en-GB"/>
              </w:rPr>
              <w:t>Issue #1</w:t>
            </w:r>
            <w:r>
              <w:rPr>
                <w:rFonts w:asciiTheme="minorHAnsi" w:eastAsiaTheme="minorEastAsia" w:hAnsiTheme="minorHAnsi" w:cstheme="minorBidi"/>
                <w:color w:val="auto"/>
                <w:sz w:val="22"/>
                <w:szCs w:val="22"/>
                <w:lang w:val="en-GB"/>
              </w:rPr>
              <w:t xml:space="preserve">: </w:t>
            </w:r>
            <w:r w:rsidR="00F87F70" w:rsidRPr="00F87F70">
              <w:rPr>
                <w:rFonts w:asciiTheme="minorHAnsi" w:eastAsiaTheme="minorEastAsia" w:hAnsiTheme="minorHAnsi" w:cstheme="minorBidi"/>
                <w:color w:val="auto"/>
                <w:sz w:val="22"/>
                <w:szCs w:val="22"/>
                <w:lang w:val="en-GB"/>
              </w:rPr>
              <w:t>Capability of supporting inter-frequency measurement without MG</w:t>
            </w:r>
          </w:p>
          <w:p w14:paraId="43122273" w14:textId="77777777" w:rsidR="00FF2643" w:rsidRDefault="00FF2643" w:rsidP="00FF2643">
            <w:pPr>
              <w:pStyle w:val="Default"/>
              <w:numPr>
                <w:ilvl w:val="0"/>
                <w:numId w:val="14"/>
              </w:numPr>
              <w:jc w:val="both"/>
              <w:rPr>
                <w:rFonts w:asciiTheme="minorHAnsi" w:eastAsiaTheme="minorEastAsia" w:hAnsiTheme="minorHAnsi" w:cstheme="minorBidi"/>
                <w:color w:val="auto"/>
                <w:sz w:val="22"/>
                <w:szCs w:val="22"/>
              </w:rPr>
            </w:pPr>
            <w:r w:rsidRPr="00FF2643">
              <w:rPr>
                <w:rFonts w:asciiTheme="minorHAnsi" w:eastAsiaTheme="minorEastAsia" w:hAnsiTheme="minorHAnsi" w:cstheme="minorBidi" w:hint="eastAsia"/>
                <w:color w:val="auto"/>
                <w:sz w:val="22"/>
                <w:szCs w:val="22"/>
              </w:rPr>
              <w:t>Option 1 (vivo, MediaTek, OPPO, Huawei, Qualcomm, vivo, Intel, Ericsson) : Optional with UE capability signaling</w:t>
            </w:r>
          </w:p>
          <w:p w14:paraId="023FDC4B" w14:textId="77777777" w:rsidR="00FF2643" w:rsidRDefault="00FF2643" w:rsidP="00FF2643">
            <w:pPr>
              <w:pStyle w:val="Default"/>
              <w:numPr>
                <w:ilvl w:val="0"/>
                <w:numId w:val="14"/>
              </w:numPr>
              <w:jc w:val="both"/>
              <w:rPr>
                <w:rFonts w:asciiTheme="minorHAnsi" w:eastAsiaTheme="minorEastAsia" w:hAnsiTheme="minorHAnsi" w:cstheme="minorBidi"/>
                <w:color w:val="auto"/>
                <w:sz w:val="22"/>
                <w:szCs w:val="22"/>
              </w:rPr>
            </w:pPr>
            <w:r w:rsidRPr="00FF2643">
              <w:rPr>
                <w:rFonts w:asciiTheme="minorHAnsi" w:eastAsiaTheme="minorEastAsia" w:hAnsiTheme="minorHAnsi" w:cstheme="minorBidi" w:hint="eastAsia"/>
                <w:color w:val="auto"/>
                <w:sz w:val="22"/>
                <w:szCs w:val="22"/>
              </w:rPr>
              <w:t>Option 2 (CMCC): Mandatory with UE capability signaling</w:t>
            </w:r>
          </w:p>
          <w:p w14:paraId="631D4F5F" w14:textId="26DCA9A0" w:rsidR="00F87F70" w:rsidRDefault="00F87F70" w:rsidP="00FF2643">
            <w:pPr>
              <w:pStyle w:val="Default"/>
              <w:jc w:val="both"/>
              <w:rPr>
                <w:rFonts w:asciiTheme="minorHAnsi" w:eastAsiaTheme="minorEastAsia" w:hAnsiTheme="minorHAnsi" w:cstheme="minorBidi"/>
                <w:color w:val="auto"/>
                <w:sz w:val="22"/>
                <w:szCs w:val="22"/>
              </w:rPr>
            </w:pPr>
            <w:r w:rsidRPr="00EA5CCC">
              <w:rPr>
                <w:rFonts w:asciiTheme="minorHAnsi" w:eastAsiaTheme="minorEastAsia" w:hAnsiTheme="minorHAnsi" w:cstheme="minorBidi"/>
                <w:b/>
                <w:color w:val="auto"/>
                <w:sz w:val="22"/>
                <w:szCs w:val="22"/>
                <w:u w:val="single"/>
              </w:rPr>
              <w:t>Issue #</w:t>
            </w:r>
            <w:r w:rsidR="00FF2643">
              <w:rPr>
                <w:rFonts w:asciiTheme="minorHAnsi" w:eastAsiaTheme="minorEastAsia" w:hAnsiTheme="minorHAnsi" w:cstheme="minorBidi"/>
                <w:b/>
                <w:color w:val="auto"/>
                <w:sz w:val="22"/>
                <w:szCs w:val="22"/>
                <w:u w:val="single"/>
              </w:rPr>
              <w:t>2</w:t>
            </w:r>
            <w:r>
              <w:rPr>
                <w:rFonts w:asciiTheme="minorHAnsi" w:eastAsiaTheme="minorEastAsia" w:hAnsiTheme="minorHAnsi" w:cstheme="minorBidi"/>
                <w:color w:val="auto"/>
                <w:sz w:val="22"/>
                <w:szCs w:val="22"/>
              </w:rPr>
              <w:t xml:space="preserve">: </w:t>
            </w:r>
            <w:r w:rsidRPr="00F87F70">
              <w:rPr>
                <w:rFonts w:asciiTheme="minorHAnsi" w:eastAsiaTheme="minorEastAsia" w:hAnsiTheme="minorHAnsi" w:cstheme="minorBidi"/>
                <w:color w:val="auto"/>
                <w:sz w:val="22"/>
                <w:szCs w:val="22"/>
              </w:rPr>
              <w:t>Scheduling restriction when the target SSB has a different SCS grid</w:t>
            </w:r>
          </w:p>
          <w:p w14:paraId="3C8CC34C" w14:textId="77777777" w:rsidR="00FF2643" w:rsidRDefault="00FF2643" w:rsidP="00FF2643">
            <w:pPr>
              <w:pStyle w:val="ListParagraph"/>
              <w:numPr>
                <w:ilvl w:val="0"/>
                <w:numId w:val="14"/>
              </w:numPr>
              <w:rPr>
                <w:lang w:eastAsia="zh-CN"/>
              </w:rPr>
            </w:pPr>
            <w:r w:rsidRPr="00FF2643">
              <w:rPr>
                <w:rFonts w:hint="eastAsia"/>
                <w:lang w:eastAsia="zh-CN"/>
              </w:rPr>
              <w:t>Option 1 (MediaTek, OPPO, Qualcomm) : When the target SSB has a different SCS grid as that of UE</w:t>
            </w:r>
            <w:r w:rsidRPr="00FF2643">
              <w:rPr>
                <w:rFonts w:hint="eastAsia"/>
                <w:lang w:eastAsia="zh-CN"/>
              </w:rPr>
              <w:t>’</w:t>
            </w:r>
            <w:r w:rsidRPr="00FF2643">
              <w:rPr>
                <w:rFonts w:hint="eastAsia"/>
                <w:lang w:eastAsia="zh-CN"/>
              </w:rPr>
              <w:t>s serving cell, UE is allowed to have scheduling restriction in the entire SMTC duration.</w:t>
            </w:r>
          </w:p>
          <w:p w14:paraId="248DF2D1" w14:textId="7A642F4C" w:rsidR="00401E08" w:rsidRPr="00401E08" w:rsidRDefault="00FF2643" w:rsidP="00FF2643">
            <w:pPr>
              <w:pStyle w:val="ListParagraph"/>
              <w:numPr>
                <w:ilvl w:val="0"/>
                <w:numId w:val="14"/>
              </w:numPr>
              <w:rPr>
                <w:lang w:eastAsia="zh-CN"/>
              </w:rPr>
            </w:pPr>
            <w:r w:rsidRPr="00FF2643">
              <w:rPr>
                <w:rFonts w:hint="eastAsia"/>
                <w:lang w:eastAsia="zh-CN"/>
              </w:rPr>
              <w:t>Option 2 (Huawei, Apple, CMCC, Huawei, Ericsson): No need to specify the scheduling restriction for the case the target SSB has a different SCS grid as that of UE</w:t>
            </w:r>
            <w:r w:rsidRPr="00FF2643">
              <w:rPr>
                <w:rFonts w:hint="eastAsia"/>
                <w:lang w:eastAsia="zh-CN"/>
              </w:rPr>
              <w:t>’</w:t>
            </w:r>
            <w:r w:rsidRPr="00FF2643">
              <w:rPr>
                <w:rFonts w:hint="eastAsia"/>
                <w:lang w:eastAsia="zh-CN"/>
              </w:rPr>
              <w:t>s serving cell.</w:t>
            </w:r>
          </w:p>
        </w:tc>
      </w:tr>
    </w:tbl>
    <w:p w14:paraId="65E54144" w14:textId="77777777" w:rsidR="00401E08" w:rsidRDefault="00401E08" w:rsidP="00BD754F">
      <w:pPr>
        <w:pStyle w:val="Default"/>
        <w:jc w:val="both"/>
        <w:rPr>
          <w:rFonts w:asciiTheme="minorHAnsi" w:eastAsiaTheme="minorEastAsia" w:hAnsiTheme="minorHAnsi" w:cstheme="minorBidi"/>
          <w:color w:val="auto"/>
          <w:sz w:val="22"/>
          <w:szCs w:val="22"/>
          <w:highlight w:val="yellow"/>
        </w:rPr>
      </w:pPr>
    </w:p>
    <w:p w14:paraId="187E0E6E" w14:textId="64C6C636" w:rsidR="00EA5CCC" w:rsidRPr="00401E08" w:rsidRDefault="00B61281" w:rsidP="00401E08">
      <w:pPr>
        <w:pStyle w:val="Default"/>
        <w:jc w:val="both"/>
        <w:rPr>
          <w:rFonts w:asciiTheme="minorHAnsi" w:eastAsiaTheme="minorEastAsia" w:hAnsiTheme="minorHAnsi" w:cstheme="minorBidi"/>
          <w:color w:val="auto"/>
          <w:sz w:val="22"/>
          <w:szCs w:val="22"/>
        </w:rPr>
      </w:pPr>
      <w:r w:rsidRPr="00401E08">
        <w:rPr>
          <w:rFonts w:asciiTheme="minorHAnsi" w:eastAsiaTheme="minorEastAsia" w:hAnsiTheme="minorHAnsi" w:cstheme="minorBidi"/>
          <w:color w:val="auto"/>
          <w:sz w:val="22"/>
          <w:szCs w:val="22"/>
        </w:rPr>
        <w:t xml:space="preserve">In this paper, we </w:t>
      </w:r>
      <w:r w:rsidR="00676F02" w:rsidRPr="00401E08">
        <w:rPr>
          <w:rFonts w:asciiTheme="minorHAnsi" w:eastAsiaTheme="minorEastAsia" w:hAnsiTheme="minorHAnsi" w:cstheme="minorBidi"/>
          <w:color w:val="auto"/>
          <w:sz w:val="22"/>
          <w:szCs w:val="22"/>
        </w:rPr>
        <w:t>provide</w:t>
      </w:r>
      <w:r w:rsidRPr="00401E08">
        <w:rPr>
          <w:rFonts w:asciiTheme="minorHAnsi" w:eastAsiaTheme="minorEastAsia" w:hAnsiTheme="minorHAnsi" w:cstheme="minorBidi"/>
          <w:color w:val="auto"/>
          <w:sz w:val="22"/>
          <w:szCs w:val="22"/>
        </w:rPr>
        <w:t xml:space="preserve"> our view</w:t>
      </w:r>
      <w:r w:rsidR="00676F02" w:rsidRPr="00401E08">
        <w:rPr>
          <w:rFonts w:asciiTheme="minorHAnsi" w:eastAsiaTheme="minorEastAsia" w:hAnsiTheme="minorHAnsi" w:cstheme="minorBidi"/>
          <w:color w:val="auto"/>
          <w:sz w:val="22"/>
          <w:szCs w:val="22"/>
        </w:rPr>
        <w:t>s</w:t>
      </w:r>
      <w:r w:rsidRPr="00401E08">
        <w:rPr>
          <w:rFonts w:asciiTheme="minorHAnsi" w:eastAsiaTheme="minorEastAsia" w:hAnsiTheme="minorHAnsi" w:cstheme="minorBidi"/>
          <w:color w:val="auto"/>
          <w:sz w:val="22"/>
          <w:szCs w:val="22"/>
        </w:rPr>
        <w:t xml:space="preserve"> on </w:t>
      </w:r>
      <w:r w:rsidR="001762D4" w:rsidRPr="00401E08">
        <w:rPr>
          <w:rFonts w:asciiTheme="minorHAnsi" w:eastAsiaTheme="minorEastAsia" w:hAnsiTheme="minorHAnsi" w:cstheme="minorBidi"/>
          <w:color w:val="auto"/>
          <w:sz w:val="22"/>
          <w:szCs w:val="22"/>
        </w:rPr>
        <w:t>above issues</w:t>
      </w:r>
      <w:r w:rsidR="00401E08" w:rsidRPr="00401E08">
        <w:rPr>
          <w:rFonts w:asciiTheme="minorHAnsi" w:eastAsiaTheme="minorEastAsia" w:hAnsiTheme="minorHAnsi" w:cstheme="minorBidi"/>
          <w:color w:val="auto"/>
          <w:sz w:val="22"/>
          <w:szCs w:val="22"/>
        </w:rPr>
        <w:t xml:space="preserve"> #1</w:t>
      </w:r>
      <w:r w:rsidR="00FF2643">
        <w:rPr>
          <w:rFonts w:asciiTheme="minorHAnsi" w:eastAsiaTheme="minorEastAsia" w:hAnsiTheme="minorHAnsi" w:cstheme="minorBidi"/>
          <w:color w:val="auto"/>
          <w:sz w:val="22"/>
          <w:szCs w:val="22"/>
        </w:rPr>
        <w:t xml:space="preserve"> and </w:t>
      </w:r>
      <w:r w:rsidR="00401E08" w:rsidRPr="00401E08">
        <w:rPr>
          <w:rFonts w:asciiTheme="minorHAnsi" w:eastAsiaTheme="minorEastAsia" w:hAnsiTheme="minorHAnsi" w:cstheme="minorBidi"/>
          <w:color w:val="auto"/>
          <w:sz w:val="22"/>
          <w:szCs w:val="22"/>
        </w:rPr>
        <w:t>#2.</w:t>
      </w:r>
      <w:r w:rsidR="001762D4" w:rsidRPr="00401E08">
        <w:rPr>
          <w:rFonts w:asciiTheme="minorHAnsi" w:eastAsiaTheme="minorEastAsia" w:hAnsiTheme="minorHAnsi" w:cstheme="minorBidi"/>
          <w:color w:val="auto"/>
          <w:sz w:val="22"/>
          <w:szCs w:val="22"/>
        </w:rPr>
        <w:t xml:space="preserve"> </w:t>
      </w:r>
    </w:p>
    <w:p w14:paraId="15570B2A" w14:textId="6725008E" w:rsidR="00486D1A" w:rsidRDefault="00974EE8" w:rsidP="008F1284">
      <w:pPr>
        <w:pStyle w:val="Heading1"/>
        <w:numPr>
          <w:ilvl w:val="0"/>
          <w:numId w:val="1"/>
        </w:numPr>
        <w:rPr>
          <w:rFonts w:ascii="Calibri" w:hAnsi="Calibri"/>
        </w:rPr>
      </w:pPr>
      <w:r>
        <w:rPr>
          <w:rFonts w:ascii="Calibri" w:hAnsi="Calibri"/>
        </w:rPr>
        <w:t>Discussion</w:t>
      </w:r>
    </w:p>
    <w:p w14:paraId="753E58CF" w14:textId="795B2EB5" w:rsidR="00F70D81" w:rsidRDefault="00F70D81" w:rsidP="00F70D81">
      <w:pPr>
        <w:pStyle w:val="Caption"/>
        <w:jc w:val="both"/>
      </w:pPr>
      <w:r>
        <w:rPr>
          <w:sz w:val="22"/>
          <w:szCs w:val="22"/>
          <w:u w:val="single"/>
          <w:lang w:val="en-GB"/>
        </w:rPr>
        <w:t>Issue #1: UE capability</w:t>
      </w:r>
    </w:p>
    <w:p w14:paraId="77839B24" w14:textId="77777777" w:rsidR="00F04C76" w:rsidRDefault="00F04C76" w:rsidP="00F04C76">
      <w:pPr>
        <w:rPr>
          <w:lang w:val="x-none" w:eastAsia="x-none"/>
        </w:rPr>
      </w:pPr>
      <w:r>
        <w:rPr>
          <w:lang w:val="x-none" w:eastAsia="x-none"/>
        </w:rPr>
        <w:t>Considering that this feature might need additional UE implementation effort. So we prefer</w:t>
      </w:r>
    </w:p>
    <w:p w14:paraId="0EE3AE11" w14:textId="5586120E" w:rsidR="00F04C76" w:rsidRDefault="00F04C76" w:rsidP="00F04C76">
      <w:pPr>
        <w:pStyle w:val="Caption"/>
      </w:pPr>
      <w:bookmarkStart w:id="1" w:name="_Ref37446518"/>
      <w:r>
        <w:t xml:space="preserve">Proposal </w:t>
      </w:r>
      <w:r w:rsidR="00AB45B3">
        <w:fldChar w:fldCharType="begin"/>
      </w:r>
      <w:r w:rsidR="00AB45B3">
        <w:instrText xml:space="preserve"> SEQ Proposal \* ARABIC </w:instrText>
      </w:r>
      <w:r w:rsidR="00AB45B3">
        <w:fldChar w:fldCharType="separate"/>
      </w:r>
      <w:r w:rsidR="00FF2643">
        <w:rPr>
          <w:noProof/>
        </w:rPr>
        <w:t>1</w:t>
      </w:r>
      <w:r w:rsidR="00AB45B3">
        <w:rPr>
          <w:noProof/>
        </w:rPr>
        <w:fldChar w:fldCharType="end"/>
      </w:r>
      <w:r>
        <w:t xml:space="preserve">: </w:t>
      </w:r>
      <w:r w:rsidRPr="00F70D81">
        <w:t>Inter-frequency measurement requirement without gap</w:t>
      </w:r>
      <w:r>
        <w:t xml:space="preserve"> </w:t>
      </w:r>
      <w:r w:rsidR="00B854E6">
        <w:t>is</w:t>
      </w:r>
      <w:r>
        <w:t xml:space="preserve"> an optional feature with UE capability signaling.</w:t>
      </w:r>
      <w:bookmarkEnd w:id="1"/>
      <w:r>
        <w:t xml:space="preserve"> </w:t>
      </w:r>
    </w:p>
    <w:p w14:paraId="6D1F3C85" w14:textId="77777777" w:rsidR="008A5E82" w:rsidRDefault="008A5E82" w:rsidP="008A5E82">
      <w:pPr>
        <w:pStyle w:val="Caption"/>
        <w:jc w:val="both"/>
        <w:rPr>
          <w:sz w:val="22"/>
          <w:szCs w:val="22"/>
          <w:u w:val="single"/>
          <w:lang w:val="en-GB"/>
        </w:rPr>
      </w:pPr>
    </w:p>
    <w:p w14:paraId="63E1CB03" w14:textId="7CBBD522" w:rsidR="003946BF" w:rsidRPr="003946BF" w:rsidRDefault="003946BF" w:rsidP="00EA5CCC">
      <w:pPr>
        <w:jc w:val="both"/>
        <w:rPr>
          <w:b/>
          <w:u w:val="single"/>
        </w:rPr>
      </w:pPr>
      <w:r w:rsidRPr="00EA5CCC">
        <w:rPr>
          <w:b/>
          <w:u w:val="single"/>
        </w:rPr>
        <w:t>Issue #</w:t>
      </w:r>
      <w:r w:rsidR="00FF2643">
        <w:rPr>
          <w:b/>
          <w:u w:val="single"/>
        </w:rPr>
        <w:t>2</w:t>
      </w:r>
      <w:r w:rsidRPr="003946BF">
        <w:rPr>
          <w:b/>
          <w:u w:val="single"/>
        </w:rPr>
        <w:t xml:space="preserve">: Scheduling restriction when the target SSB has a different SCS grid </w:t>
      </w:r>
    </w:p>
    <w:p w14:paraId="7A2EF8C7" w14:textId="6836160B" w:rsidR="00EA5CCC" w:rsidRPr="0074788B" w:rsidRDefault="00EA5CCC" w:rsidP="00EA5CCC">
      <w:pPr>
        <w:jc w:val="both"/>
        <w:rPr>
          <w:b/>
          <w:u w:val="single"/>
          <w:lang w:eastAsia="x-none"/>
        </w:rPr>
      </w:pPr>
      <w:r>
        <w:rPr>
          <w:lang w:val="en-GB"/>
        </w:rPr>
        <w:t>The SCS applicable for SSB are 15KHz, 30KHz, 120KHz and 240KHz, while the granularity of ARFCN that are used in MO to indicate the frequency location of SSB can be 5KHz.</w:t>
      </w:r>
    </w:p>
    <w:tbl>
      <w:tblPr>
        <w:tblStyle w:val="TableGrid"/>
        <w:tblW w:w="0" w:type="auto"/>
        <w:tblInd w:w="704" w:type="dxa"/>
        <w:tblLook w:val="04A0" w:firstRow="1" w:lastRow="0" w:firstColumn="1" w:lastColumn="0" w:noHBand="0" w:noVBand="1"/>
      </w:tblPr>
      <w:tblGrid>
        <w:gridCol w:w="8505"/>
      </w:tblGrid>
      <w:tr w:rsidR="00EA5CCC" w14:paraId="21D81BEA" w14:textId="77777777" w:rsidTr="00EA5CCC">
        <w:tc>
          <w:tcPr>
            <w:tcW w:w="8505" w:type="dxa"/>
          </w:tcPr>
          <w:p w14:paraId="5958693F" w14:textId="2FCA8A67" w:rsidR="00EA5CCC" w:rsidRDefault="00EA5CCC" w:rsidP="00EA5CCC">
            <w:pPr>
              <w:rPr>
                <w:lang w:val="en-GB" w:eastAsia="x-none"/>
              </w:rPr>
            </w:pPr>
            <w:r>
              <w:rPr>
                <w:lang w:val="en-GB" w:eastAsia="x-none"/>
              </w:rPr>
              <w:t>In TS38.331</w:t>
            </w:r>
          </w:p>
          <w:p w14:paraId="082C5635" w14:textId="08324687" w:rsidR="00EA5CCC" w:rsidRPr="00EA5CCC" w:rsidRDefault="00EA5CCC" w:rsidP="00EA5CCC">
            <w:pPr>
              <w:pStyle w:val="PL"/>
              <w:ind w:left="384"/>
              <w:rPr>
                <w:sz w:val="14"/>
                <w:shd w:val="pct15" w:color="auto" w:fill="FFFFFF"/>
              </w:rPr>
            </w:pPr>
            <w:r w:rsidRPr="00EA5CCC">
              <w:rPr>
                <w:sz w:val="14"/>
                <w:shd w:val="pct15" w:color="auto" w:fill="FFFFFF"/>
              </w:rPr>
              <w:t>MeasObjectNR ::=              SEQUENCE {</w:t>
            </w:r>
          </w:p>
          <w:p w14:paraId="27F3D8FE" w14:textId="5C0EA9EA" w:rsidR="00EA5CCC" w:rsidRPr="00EA5CCC" w:rsidRDefault="00EA5CCC" w:rsidP="00EA5CCC">
            <w:pPr>
              <w:pStyle w:val="PL"/>
              <w:ind w:left="384"/>
              <w:rPr>
                <w:sz w:val="14"/>
                <w:shd w:val="pct15" w:color="auto" w:fill="FFFFFF"/>
              </w:rPr>
            </w:pPr>
            <w:r w:rsidRPr="00EA5CCC">
              <w:rPr>
                <w:sz w:val="14"/>
                <w:shd w:val="pct15" w:color="auto" w:fill="FFFFFF"/>
              </w:rPr>
              <w:t xml:space="preserve">    </w:t>
            </w:r>
            <w:r w:rsidRPr="00EA5CCC">
              <w:rPr>
                <w:sz w:val="14"/>
                <w:highlight w:val="yellow"/>
                <w:shd w:val="pct15" w:color="auto" w:fill="FFFFFF"/>
              </w:rPr>
              <w:t>ssbFrequency               ARFCN-ValueNR</w:t>
            </w:r>
            <w:r w:rsidRPr="00EA5CCC">
              <w:rPr>
                <w:sz w:val="14"/>
                <w:shd w:val="pct15" w:color="auto" w:fill="FFFFFF"/>
              </w:rPr>
              <w:t xml:space="preserve">                  OPTIONAL,   -- Cond SSBorAssociatedSSB</w:t>
            </w:r>
          </w:p>
          <w:p w14:paraId="50D8426B" w14:textId="677CFB86" w:rsidR="00EA5CCC" w:rsidRPr="00EA5CCC" w:rsidRDefault="00EA5CCC" w:rsidP="00EA5CCC">
            <w:pPr>
              <w:pStyle w:val="PL"/>
              <w:ind w:left="384"/>
              <w:rPr>
                <w:sz w:val="14"/>
                <w:shd w:val="pct15" w:color="auto" w:fill="FFFFFF"/>
              </w:rPr>
            </w:pPr>
            <w:r w:rsidRPr="00EA5CCC">
              <w:rPr>
                <w:sz w:val="14"/>
                <w:shd w:val="pct15" w:color="auto" w:fill="FFFFFF"/>
              </w:rPr>
              <w:t xml:space="preserve">    ssbSubcarrierSpacing     SubcarrierSpacing              OPTIONAL,   -- Cond SSBorAssociatedSSB</w:t>
            </w:r>
          </w:p>
          <w:p w14:paraId="1378DAEA" w14:textId="6ED0BFE4" w:rsidR="00EA5CCC" w:rsidRPr="00EA5CCC" w:rsidRDefault="00EA5CCC" w:rsidP="00EA5CCC">
            <w:pPr>
              <w:pStyle w:val="PL"/>
              <w:ind w:left="384"/>
              <w:rPr>
                <w:sz w:val="14"/>
                <w:shd w:val="pct15" w:color="auto" w:fill="FFFFFF"/>
              </w:rPr>
            </w:pPr>
            <w:r w:rsidRPr="00EA5CCC">
              <w:rPr>
                <w:sz w:val="14"/>
                <w:shd w:val="pct15" w:color="auto" w:fill="FFFFFF"/>
              </w:rPr>
              <w:t xml:space="preserve">    smtc1                       SSB-MTC                          OPTIONAL,   -- Cond SSBorAssociatedSSB</w:t>
            </w:r>
          </w:p>
          <w:p w14:paraId="1E7306E5" w14:textId="47B99A15" w:rsidR="00EA5CCC" w:rsidRPr="00EA5CCC" w:rsidRDefault="00EA5CCC" w:rsidP="00EA5CCC">
            <w:pPr>
              <w:pStyle w:val="PL"/>
              <w:ind w:left="384"/>
              <w:rPr>
                <w:sz w:val="14"/>
                <w:shd w:val="pct15" w:color="auto" w:fill="FFFFFF"/>
              </w:rPr>
            </w:pPr>
            <w:r w:rsidRPr="00EA5CCC">
              <w:rPr>
                <w:sz w:val="14"/>
                <w:shd w:val="pct15" w:color="auto" w:fill="FFFFFF"/>
              </w:rPr>
              <w:t xml:space="preserve">    smtc2                       SSB-MTC2                         OPTIONAL,   -- Cond IntraFreqConnected</w:t>
            </w:r>
          </w:p>
          <w:p w14:paraId="4B1E2D57" w14:textId="033E0F55" w:rsidR="00EA5CCC" w:rsidRPr="00EA5CCC" w:rsidRDefault="00EA5CCC" w:rsidP="00EA5CCC">
            <w:pPr>
              <w:pStyle w:val="PL"/>
              <w:ind w:left="384"/>
              <w:rPr>
                <w:sz w:val="14"/>
                <w:shd w:val="pct15" w:color="auto" w:fill="FFFFFF"/>
              </w:rPr>
            </w:pPr>
            <w:r w:rsidRPr="00EA5CCC">
              <w:rPr>
                <w:sz w:val="14"/>
                <w:shd w:val="pct15" w:color="auto" w:fill="FFFFFF"/>
              </w:rPr>
              <w:t>…</w:t>
            </w:r>
          </w:p>
          <w:p w14:paraId="3658F5D1" w14:textId="77777777" w:rsidR="00EA5CCC" w:rsidRDefault="00EA5CCC" w:rsidP="00EA5CCC">
            <w:pPr>
              <w:rPr>
                <w:lang w:eastAsia="x-none"/>
              </w:rPr>
            </w:pPr>
          </w:p>
          <w:p w14:paraId="7EDEEA65" w14:textId="77777777" w:rsidR="00EA5CCC" w:rsidRDefault="00EA5CCC" w:rsidP="00EA5CCC">
            <w:pPr>
              <w:rPr>
                <w:lang w:eastAsia="x-none"/>
              </w:rPr>
            </w:pPr>
            <w:r>
              <w:rPr>
                <w:lang w:eastAsia="x-none"/>
              </w:rPr>
              <w:t>In TS38.101-1</w:t>
            </w:r>
          </w:p>
          <w:p w14:paraId="1570C23B" w14:textId="0951B112" w:rsidR="00EA5CCC" w:rsidRPr="00EA5CCC" w:rsidRDefault="00EA5CCC" w:rsidP="00EA5CCC">
            <w:pPr>
              <w:jc w:val="center"/>
              <w:rPr>
                <w:lang w:eastAsia="x-none"/>
              </w:rPr>
            </w:pPr>
            <w:r>
              <w:rPr>
                <w:noProof/>
              </w:rPr>
              <w:lastRenderedPageBreak/>
              <w:drawing>
                <wp:inline distT="0" distB="0" distL="0" distR="0" wp14:anchorId="75B9D84D" wp14:editId="64AB4737">
                  <wp:extent cx="4143036" cy="5934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46834" cy="608300"/>
                          </a:xfrm>
                          <a:prstGeom prst="rect">
                            <a:avLst/>
                          </a:prstGeom>
                          <a:noFill/>
                        </pic:spPr>
                      </pic:pic>
                    </a:graphicData>
                  </a:graphic>
                </wp:inline>
              </w:drawing>
            </w:r>
          </w:p>
        </w:tc>
      </w:tr>
    </w:tbl>
    <w:p w14:paraId="20DA7A4C" w14:textId="77777777" w:rsidR="00EA5CCC" w:rsidRDefault="00EA5CCC" w:rsidP="00EA5CCC">
      <w:pPr>
        <w:rPr>
          <w:lang w:val="en-GB" w:eastAsia="x-none"/>
        </w:rPr>
      </w:pPr>
    </w:p>
    <w:p w14:paraId="34BFA5ED" w14:textId="247F0B19" w:rsidR="00EA5CCC" w:rsidRDefault="00EA5CCC" w:rsidP="00A571E2">
      <w:pPr>
        <w:jc w:val="both"/>
        <w:rPr>
          <w:lang w:val="en-GB" w:eastAsia="x-none"/>
        </w:rPr>
      </w:pPr>
      <w:r>
        <w:rPr>
          <w:lang w:val="en-GB" w:eastAsia="x-none"/>
        </w:rPr>
        <w:t>That means the spec allow</w:t>
      </w:r>
      <w:r w:rsidR="00A571E2">
        <w:rPr>
          <w:lang w:val="en-GB" w:eastAsia="x-none"/>
        </w:rPr>
        <w:t>s</w:t>
      </w:r>
      <w:r>
        <w:rPr>
          <w:lang w:val="en-GB" w:eastAsia="x-none"/>
        </w:rPr>
        <w:t xml:space="preserve"> the indication of an inter-frequency MO with SSB not on the same SCS grid as UE’s serving cell, even if they are with the same SCS. </w:t>
      </w:r>
      <w:r w:rsidR="00A571E2">
        <w:rPr>
          <w:lang w:val="en-GB" w:eastAsia="x-none"/>
        </w:rPr>
        <w:fldChar w:fldCharType="begin"/>
      </w:r>
      <w:r w:rsidR="00A571E2">
        <w:rPr>
          <w:lang w:val="en-GB" w:eastAsia="x-none"/>
        </w:rPr>
        <w:instrText xml:space="preserve"> REF _Ref31194534 \h </w:instrText>
      </w:r>
      <w:r w:rsidR="00A571E2">
        <w:rPr>
          <w:lang w:val="en-GB" w:eastAsia="x-none"/>
        </w:rPr>
      </w:r>
      <w:r w:rsidR="00A571E2">
        <w:rPr>
          <w:lang w:val="en-GB" w:eastAsia="x-none"/>
        </w:rPr>
        <w:fldChar w:fldCharType="separate"/>
      </w:r>
      <w:r w:rsidR="00FF2643">
        <w:t xml:space="preserve">Figure </w:t>
      </w:r>
      <w:r w:rsidR="00FF2643">
        <w:rPr>
          <w:noProof/>
        </w:rPr>
        <w:t>1</w:t>
      </w:r>
      <w:r w:rsidR="00A571E2">
        <w:rPr>
          <w:lang w:val="en-GB" w:eastAsia="x-none"/>
        </w:rPr>
        <w:fldChar w:fldCharType="end"/>
      </w:r>
      <w:r w:rsidR="00A571E2">
        <w:rPr>
          <w:lang w:val="en-GB" w:eastAsia="x-none"/>
        </w:rPr>
        <w:t xml:space="preserve"> provides one example with 15KHz SCS for both UE’s serving cell and the target SSB but on different grids. In this case, additional effort is required by UE to perform measurement and data reception at the same time. </w:t>
      </w:r>
    </w:p>
    <w:p w14:paraId="78927CF0" w14:textId="4DBB1F3C" w:rsidR="00EA5CCC" w:rsidRDefault="00EA5CCC" w:rsidP="00EA5CCC">
      <w:pPr>
        <w:rPr>
          <w:lang w:val="en-GB" w:eastAsia="x-none"/>
        </w:rPr>
      </w:pPr>
      <w:r>
        <w:rPr>
          <w:noProof/>
        </w:rPr>
        <w:drawing>
          <wp:inline distT="0" distB="0" distL="0" distR="0" wp14:anchorId="200EB182" wp14:editId="0884B759">
            <wp:extent cx="5882584" cy="1298428"/>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34635" cy="1309917"/>
                    </a:xfrm>
                    <a:prstGeom prst="rect">
                      <a:avLst/>
                    </a:prstGeom>
                    <a:noFill/>
                  </pic:spPr>
                </pic:pic>
              </a:graphicData>
            </a:graphic>
          </wp:inline>
        </w:drawing>
      </w:r>
    </w:p>
    <w:p w14:paraId="667A9032" w14:textId="38D995C0" w:rsidR="00EA5CCC" w:rsidRDefault="00EA5CCC" w:rsidP="00EA5CCC">
      <w:pPr>
        <w:pStyle w:val="Caption"/>
        <w:jc w:val="center"/>
        <w:rPr>
          <w:lang w:val="en-GB"/>
        </w:rPr>
      </w:pPr>
      <w:bookmarkStart w:id="2" w:name="_Ref31194534"/>
      <w:r>
        <w:t xml:space="preserve">Figure </w:t>
      </w:r>
      <w:r w:rsidR="00AB45B3">
        <w:fldChar w:fldCharType="begin"/>
      </w:r>
      <w:r w:rsidR="00AB45B3">
        <w:instrText xml:space="preserve"> SEQ Figure \* ARABIC </w:instrText>
      </w:r>
      <w:r w:rsidR="00AB45B3">
        <w:fldChar w:fldCharType="separate"/>
      </w:r>
      <w:r w:rsidR="00FF2643">
        <w:rPr>
          <w:noProof/>
        </w:rPr>
        <w:t>1</w:t>
      </w:r>
      <w:r w:rsidR="00AB45B3">
        <w:rPr>
          <w:noProof/>
        </w:rPr>
        <w:fldChar w:fldCharType="end"/>
      </w:r>
      <w:bookmarkEnd w:id="2"/>
      <w:r w:rsidR="00A571E2">
        <w:t>. Unaligned grid between target SSB and UE’s serving cell</w:t>
      </w:r>
    </w:p>
    <w:p w14:paraId="625564EB" w14:textId="77777777" w:rsidR="00A571E2" w:rsidRDefault="00A571E2" w:rsidP="00A571E2">
      <w:pPr>
        <w:jc w:val="both"/>
        <w:rPr>
          <w:lang w:val="en-GB" w:eastAsia="x-none"/>
        </w:rPr>
      </w:pPr>
      <w:r>
        <w:rPr>
          <w:lang w:val="en-GB" w:eastAsia="x-none"/>
        </w:rPr>
        <w:t>Introducing a UE capability to indicate this additional capability to network could be one solution. However, we believe this scenario can be easily avoided by network deployment. So adding new UE capability does not make much sense. An easiest way to address this issue is to add a condition in the scheduling restriction requirements, e.g., when the target SSB has a different SCS grid as that of UE’s serving cell, UE is allowed to have scheduling restriction in the entire SMTC duration.</w:t>
      </w:r>
    </w:p>
    <w:p w14:paraId="44EA7767" w14:textId="45315634" w:rsidR="00EA5CCC" w:rsidRDefault="00A571E2" w:rsidP="00A571E2">
      <w:pPr>
        <w:pStyle w:val="Caption"/>
        <w:jc w:val="both"/>
        <w:rPr>
          <w:lang w:val="en-GB"/>
        </w:rPr>
      </w:pPr>
      <w:bookmarkStart w:id="3" w:name="_Ref31195042"/>
      <w:r>
        <w:t xml:space="preserve">Proposal </w:t>
      </w:r>
      <w:r w:rsidR="00AB45B3">
        <w:fldChar w:fldCharType="begin"/>
      </w:r>
      <w:r w:rsidR="00AB45B3">
        <w:instrText xml:space="preserve"> SEQ Proposal \* ARABIC </w:instrText>
      </w:r>
      <w:r w:rsidR="00AB45B3">
        <w:fldChar w:fldCharType="separate"/>
      </w:r>
      <w:r w:rsidR="00FF2643">
        <w:rPr>
          <w:noProof/>
        </w:rPr>
        <w:t>2</w:t>
      </w:r>
      <w:r w:rsidR="00AB45B3">
        <w:rPr>
          <w:noProof/>
        </w:rPr>
        <w:fldChar w:fldCharType="end"/>
      </w:r>
      <w:r>
        <w:t xml:space="preserve">: </w:t>
      </w:r>
      <w:r>
        <w:rPr>
          <w:lang w:val="en-GB"/>
        </w:rPr>
        <w:t>When the target SSB has a different SCS grid as that of UE’s serving cell, UE is allowed to have scheduling restriction in the entire SMTC duration.</w:t>
      </w:r>
      <w:bookmarkEnd w:id="3"/>
    </w:p>
    <w:p w14:paraId="71F394E3" w14:textId="77777777" w:rsidR="00EA5CCC" w:rsidRPr="00EA5CCC" w:rsidRDefault="00EA5CCC" w:rsidP="00EA5CCC">
      <w:pPr>
        <w:rPr>
          <w:lang w:val="en-GB" w:eastAsia="x-none"/>
        </w:rPr>
      </w:pPr>
    </w:p>
    <w:p w14:paraId="7C6FC139" w14:textId="77777777" w:rsidR="00CE0D5E" w:rsidRPr="000C45FD" w:rsidRDefault="00141644" w:rsidP="008F1284">
      <w:pPr>
        <w:pStyle w:val="Heading1"/>
        <w:numPr>
          <w:ilvl w:val="0"/>
          <w:numId w:val="1"/>
        </w:numPr>
        <w:rPr>
          <w:rFonts w:ascii="Calibri" w:hAnsi="Calibri"/>
          <w:lang w:eastAsia="zh-CN"/>
        </w:rPr>
      </w:pPr>
      <w:r>
        <w:rPr>
          <w:rFonts w:ascii="Calibri" w:hAnsi="Calibri"/>
        </w:rPr>
        <w:t>Summary</w:t>
      </w:r>
    </w:p>
    <w:p w14:paraId="66549B52" w14:textId="2F8AE8DD" w:rsidR="0091176C" w:rsidRDefault="006F7557" w:rsidP="0091176C">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t>
      </w:r>
      <w:r w:rsidR="00676BB8">
        <w:t xml:space="preserve">we </w:t>
      </w:r>
      <w:r w:rsidR="0083797E">
        <w:t>discuss the requirement of inter-frequency measurement without gap. We have the following proposals</w:t>
      </w:r>
      <w:r w:rsidR="007F5072">
        <w:t>.</w:t>
      </w:r>
    </w:p>
    <w:p w14:paraId="22653390" w14:textId="4ECBD7E7" w:rsidR="00CD6F9A" w:rsidRDefault="00CD6F9A" w:rsidP="00B21192">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_Ref37446518 \h </w:instrText>
      </w:r>
      <w:r w:rsidR="00FF2643">
        <w:rPr>
          <w:b/>
          <w:sz w:val="20"/>
          <w:szCs w:val="20"/>
          <w:lang w:eastAsia="x-none"/>
        </w:rPr>
        <w:instrText xml:space="preserve"> \* MERGEFORMAT </w:instrText>
      </w:r>
      <w:r>
        <w:rPr>
          <w:b/>
          <w:sz w:val="20"/>
          <w:szCs w:val="20"/>
          <w:lang w:eastAsia="x-none"/>
        </w:rPr>
      </w:r>
      <w:r>
        <w:rPr>
          <w:b/>
          <w:sz w:val="20"/>
          <w:szCs w:val="20"/>
          <w:lang w:eastAsia="x-none"/>
        </w:rPr>
        <w:fldChar w:fldCharType="separate"/>
      </w:r>
      <w:r w:rsidR="00FF2643" w:rsidRPr="00FF2643">
        <w:rPr>
          <w:b/>
          <w:sz w:val="20"/>
          <w:szCs w:val="20"/>
          <w:lang w:eastAsia="x-none"/>
        </w:rPr>
        <w:t>Proposal 1: Inter-frequency measurement requirement without gap is an optional feature with UE capability signaling.</w:t>
      </w:r>
      <w:r>
        <w:rPr>
          <w:b/>
          <w:sz w:val="20"/>
          <w:szCs w:val="20"/>
          <w:lang w:eastAsia="x-none"/>
        </w:rPr>
        <w:fldChar w:fldCharType="end"/>
      </w:r>
    </w:p>
    <w:p w14:paraId="46531BBF" w14:textId="7197F71A" w:rsidR="000204A5" w:rsidRPr="007F5072" w:rsidRDefault="00401E08" w:rsidP="00B21192">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_Ref31195042 \h  \* MERGEFORMAT </w:instrText>
      </w:r>
      <w:r>
        <w:rPr>
          <w:b/>
          <w:sz w:val="20"/>
          <w:szCs w:val="20"/>
          <w:lang w:eastAsia="x-none"/>
        </w:rPr>
      </w:r>
      <w:r>
        <w:rPr>
          <w:b/>
          <w:sz w:val="20"/>
          <w:szCs w:val="20"/>
          <w:lang w:eastAsia="x-none"/>
        </w:rPr>
        <w:fldChar w:fldCharType="separate"/>
      </w:r>
      <w:r w:rsidR="00FF2643" w:rsidRPr="00FF2643">
        <w:rPr>
          <w:b/>
          <w:sz w:val="20"/>
          <w:szCs w:val="20"/>
          <w:lang w:eastAsia="x-none"/>
        </w:rPr>
        <w:t>Proposal 2: When the target SSB has a different SCS grid as that of UE’s serving cell, UE is allowed to have scheduling restriction in the entire SMTC duration.</w:t>
      </w:r>
      <w:r>
        <w:rPr>
          <w:b/>
          <w:sz w:val="20"/>
          <w:szCs w:val="20"/>
          <w:lang w:eastAsia="x-none"/>
        </w:rPr>
        <w:fldChar w:fldCharType="end"/>
      </w:r>
    </w:p>
    <w:p w14:paraId="2E96BB97" w14:textId="77777777" w:rsidR="00842EE0" w:rsidRDefault="00842EE0" w:rsidP="008F1284">
      <w:pPr>
        <w:pStyle w:val="Heading1"/>
        <w:numPr>
          <w:ilvl w:val="0"/>
          <w:numId w:val="1"/>
        </w:numPr>
        <w:rPr>
          <w:rFonts w:ascii="Calibri" w:hAnsi="Calibri"/>
        </w:rPr>
      </w:pPr>
      <w:r w:rsidRPr="00842EE0">
        <w:rPr>
          <w:rFonts w:ascii="Calibri" w:hAnsi="Calibri" w:hint="eastAsia"/>
        </w:rPr>
        <w:t>Reference</w:t>
      </w:r>
    </w:p>
    <w:p w14:paraId="191EE729" w14:textId="1AA86C70" w:rsidR="00842EE0" w:rsidRDefault="0090653B" w:rsidP="00872564">
      <w:pPr>
        <w:overflowPunct w:val="0"/>
        <w:autoSpaceDE w:val="0"/>
        <w:autoSpaceDN w:val="0"/>
        <w:adjustRightInd w:val="0"/>
        <w:textAlignment w:val="baseline"/>
        <w:rPr>
          <w:sz w:val="20"/>
          <w:lang w:eastAsia="ko-KR"/>
        </w:rPr>
      </w:pPr>
      <w:r>
        <w:rPr>
          <w:sz w:val="20"/>
          <w:lang w:eastAsia="ko-KR"/>
        </w:rPr>
        <w:t xml:space="preserve">[1] </w:t>
      </w:r>
      <w:r w:rsidR="00B652C8" w:rsidRPr="00B652C8">
        <w:rPr>
          <w:sz w:val="20"/>
          <w:lang w:eastAsia="ko-KR"/>
        </w:rPr>
        <w:t>R4-</w:t>
      </w:r>
      <w:r w:rsidR="00FF2643" w:rsidRPr="00B652C8">
        <w:rPr>
          <w:sz w:val="20"/>
          <w:lang w:eastAsia="ko-KR"/>
        </w:rPr>
        <w:t>200</w:t>
      </w:r>
      <w:r w:rsidR="00FF2643">
        <w:rPr>
          <w:sz w:val="20"/>
          <w:lang w:eastAsia="ko-KR"/>
        </w:rPr>
        <w:t>5348</w:t>
      </w:r>
      <w:r>
        <w:rPr>
          <w:sz w:val="20"/>
          <w:lang w:eastAsia="ko-KR"/>
        </w:rPr>
        <w:t>, “</w:t>
      </w:r>
      <w:r w:rsidR="00463857" w:rsidRPr="00463857">
        <w:rPr>
          <w:sz w:val="20"/>
          <w:lang w:eastAsia="ko-KR"/>
        </w:rPr>
        <w:t>WF on inter-frequency without MG</w:t>
      </w:r>
      <w:r>
        <w:rPr>
          <w:sz w:val="20"/>
          <w:lang w:eastAsia="ko-KR"/>
        </w:rPr>
        <w:t xml:space="preserve">”, </w:t>
      </w:r>
      <w:r w:rsidR="00463857">
        <w:rPr>
          <w:sz w:val="20"/>
          <w:lang w:eastAsia="ko-KR"/>
        </w:rPr>
        <w:t>CMCC</w:t>
      </w:r>
      <w:r w:rsidR="00B652C8">
        <w:rPr>
          <w:sz w:val="20"/>
          <w:lang w:eastAsia="ko-KR"/>
        </w:rPr>
        <w:t xml:space="preserve">, </w:t>
      </w:r>
      <w:r w:rsidR="00FF2643">
        <w:rPr>
          <w:sz w:val="20"/>
          <w:lang w:eastAsia="ko-KR"/>
        </w:rPr>
        <w:t>Apr</w:t>
      </w:r>
      <w:r w:rsidR="00B652C8">
        <w:rPr>
          <w:sz w:val="20"/>
          <w:lang w:eastAsia="ko-KR"/>
        </w:rPr>
        <w:t>., 2020.</w:t>
      </w:r>
    </w:p>
    <w:sectPr w:rsidR="00842EE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B7EDC1" w14:textId="77777777" w:rsidR="00AB45B3" w:rsidRDefault="00AB45B3">
      <w:r>
        <w:separator/>
      </w:r>
    </w:p>
  </w:endnote>
  <w:endnote w:type="continuationSeparator" w:id="0">
    <w:p w14:paraId="51402556" w14:textId="77777777" w:rsidR="00AB45B3" w:rsidRDefault="00AB4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panose1 w:val="020B0604030504040204"/>
    <w:charset w:val="88"/>
    <w:family w:val="swiss"/>
    <w:pitch w:val="variable"/>
    <w:sig w:usb0="00000087" w:usb1="288F4000" w:usb2="00000016" w:usb3="00000000" w:csb0="00100009"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F838AA" w14:textId="77777777" w:rsidR="00AB45B3" w:rsidRDefault="00AB45B3">
      <w:r>
        <w:separator/>
      </w:r>
    </w:p>
  </w:footnote>
  <w:footnote w:type="continuationSeparator" w:id="0">
    <w:p w14:paraId="5CDA928E" w14:textId="77777777" w:rsidR="00AB45B3" w:rsidRDefault="00AB45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6C53C9"/>
    <w:multiLevelType w:val="hybridMultilevel"/>
    <w:tmpl w:val="886658C0"/>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DA6904"/>
    <w:multiLevelType w:val="hybridMultilevel"/>
    <w:tmpl w:val="0AD28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6FB0665"/>
    <w:multiLevelType w:val="hybridMultilevel"/>
    <w:tmpl w:val="F9BE9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102133C"/>
    <w:multiLevelType w:val="hybridMultilevel"/>
    <w:tmpl w:val="363CF17A"/>
    <w:lvl w:ilvl="0" w:tplc="734ED7D8">
      <w:start w:val="1"/>
      <w:numFmt w:val="bullet"/>
      <w:lvlText w:val="•"/>
      <w:lvlJc w:val="left"/>
      <w:pPr>
        <w:tabs>
          <w:tab w:val="num" w:pos="644"/>
        </w:tabs>
        <w:ind w:left="644" w:hanging="360"/>
      </w:pPr>
      <w:rPr>
        <w:rFonts w:ascii="Arial" w:hAnsi="Arial" w:hint="default"/>
      </w:rPr>
    </w:lvl>
    <w:lvl w:ilvl="1" w:tplc="20A84598">
      <w:numFmt w:val="bullet"/>
      <w:lvlText w:val="•"/>
      <w:lvlJc w:val="left"/>
      <w:pPr>
        <w:tabs>
          <w:tab w:val="num" w:pos="1364"/>
        </w:tabs>
        <w:ind w:left="1364" w:hanging="360"/>
      </w:pPr>
      <w:rPr>
        <w:rFonts w:ascii="Arial" w:hAnsi="Arial" w:hint="default"/>
      </w:rPr>
    </w:lvl>
    <w:lvl w:ilvl="2" w:tplc="31B2EB34" w:tentative="1">
      <w:start w:val="1"/>
      <w:numFmt w:val="bullet"/>
      <w:lvlText w:val="•"/>
      <w:lvlJc w:val="left"/>
      <w:pPr>
        <w:tabs>
          <w:tab w:val="num" w:pos="2084"/>
        </w:tabs>
        <w:ind w:left="2084" w:hanging="360"/>
      </w:pPr>
      <w:rPr>
        <w:rFonts w:ascii="Arial" w:hAnsi="Arial" w:hint="default"/>
      </w:rPr>
    </w:lvl>
    <w:lvl w:ilvl="3" w:tplc="DA44F7EA" w:tentative="1">
      <w:start w:val="1"/>
      <w:numFmt w:val="bullet"/>
      <w:lvlText w:val="•"/>
      <w:lvlJc w:val="left"/>
      <w:pPr>
        <w:tabs>
          <w:tab w:val="num" w:pos="2804"/>
        </w:tabs>
        <w:ind w:left="2804" w:hanging="360"/>
      </w:pPr>
      <w:rPr>
        <w:rFonts w:ascii="Arial" w:hAnsi="Arial" w:hint="default"/>
      </w:rPr>
    </w:lvl>
    <w:lvl w:ilvl="4" w:tplc="6580446C" w:tentative="1">
      <w:start w:val="1"/>
      <w:numFmt w:val="bullet"/>
      <w:lvlText w:val="•"/>
      <w:lvlJc w:val="left"/>
      <w:pPr>
        <w:tabs>
          <w:tab w:val="num" w:pos="3524"/>
        </w:tabs>
        <w:ind w:left="3524" w:hanging="360"/>
      </w:pPr>
      <w:rPr>
        <w:rFonts w:ascii="Arial" w:hAnsi="Arial" w:hint="default"/>
      </w:rPr>
    </w:lvl>
    <w:lvl w:ilvl="5" w:tplc="3BAA416E" w:tentative="1">
      <w:start w:val="1"/>
      <w:numFmt w:val="bullet"/>
      <w:lvlText w:val="•"/>
      <w:lvlJc w:val="left"/>
      <w:pPr>
        <w:tabs>
          <w:tab w:val="num" w:pos="4244"/>
        </w:tabs>
        <w:ind w:left="4244" w:hanging="360"/>
      </w:pPr>
      <w:rPr>
        <w:rFonts w:ascii="Arial" w:hAnsi="Arial" w:hint="default"/>
      </w:rPr>
    </w:lvl>
    <w:lvl w:ilvl="6" w:tplc="96EC48D8" w:tentative="1">
      <w:start w:val="1"/>
      <w:numFmt w:val="bullet"/>
      <w:lvlText w:val="•"/>
      <w:lvlJc w:val="left"/>
      <w:pPr>
        <w:tabs>
          <w:tab w:val="num" w:pos="4964"/>
        </w:tabs>
        <w:ind w:left="4964" w:hanging="360"/>
      </w:pPr>
      <w:rPr>
        <w:rFonts w:ascii="Arial" w:hAnsi="Arial" w:hint="default"/>
      </w:rPr>
    </w:lvl>
    <w:lvl w:ilvl="7" w:tplc="E66AEE9A" w:tentative="1">
      <w:start w:val="1"/>
      <w:numFmt w:val="bullet"/>
      <w:lvlText w:val="•"/>
      <w:lvlJc w:val="left"/>
      <w:pPr>
        <w:tabs>
          <w:tab w:val="num" w:pos="5684"/>
        </w:tabs>
        <w:ind w:left="5684" w:hanging="360"/>
      </w:pPr>
      <w:rPr>
        <w:rFonts w:ascii="Arial" w:hAnsi="Arial" w:hint="default"/>
      </w:rPr>
    </w:lvl>
    <w:lvl w:ilvl="8" w:tplc="1B247EAA"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A21A49"/>
    <w:multiLevelType w:val="hybridMultilevel"/>
    <w:tmpl w:val="45C045A0"/>
    <w:lvl w:ilvl="0" w:tplc="7756BAF4">
      <w:start w:val="1"/>
      <w:numFmt w:val="bullet"/>
      <w:lvlText w:val="•"/>
      <w:lvlJc w:val="left"/>
      <w:pPr>
        <w:tabs>
          <w:tab w:val="num" w:pos="720"/>
        </w:tabs>
        <w:ind w:left="720" w:hanging="360"/>
      </w:pPr>
      <w:rPr>
        <w:rFonts w:ascii="Arial" w:hAnsi="Arial" w:hint="default"/>
      </w:rPr>
    </w:lvl>
    <w:lvl w:ilvl="1" w:tplc="C6E60800" w:tentative="1">
      <w:start w:val="1"/>
      <w:numFmt w:val="bullet"/>
      <w:lvlText w:val="•"/>
      <w:lvlJc w:val="left"/>
      <w:pPr>
        <w:tabs>
          <w:tab w:val="num" w:pos="1440"/>
        </w:tabs>
        <w:ind w:left="1440" w:hanging="360"/>
      </w:pPr>
      <w:rPr>
        <w:rFonts w:ascii="Arial" w:hAnsi="Arial" w:hint="default"/>
      </w:rPr>
    </w:lvl>
    <w:lvl w:ilvl="2" w:tplc="58EA609E" w:tentative="1">
      <w:start w:val="1"/>
      <w:numFmt w:val="bullet"/>
      <w:lvlText w:val="•"/>
      <w:lvlJc w:val="left"/>
      <w:pPr>
        <w:tabs>
          <w:tab w:val="num" w:pos="2160"/>
        </w:tabs>
        <w:ind w:left="2160" w:hanging="360"/>
      </w:pPr>
      <w:rPr>
        <w:rFonts w:ascii="Arial" w:hAnsi="Arial" w:hint="default"/>
      </w:rPr>
    </w:lvl>
    <w:lvl w:ilvl="3" w:tplc="E55A34EA" w:tentative="1">
      <w:start w:val="1"/>
      <w:numFmt w:val="bullet"/>
      <w:lvlText w:val="•"/>
      <w:lvlJc w:val="left"/>
      <w:pPr>
        <w:tabs>
          <w:tab w:val="num" w:pos="2880"/>
        </w:tabs>
        <w:ind w:left="2880" w:hanging="360"/>
      </w:pPr>
      <w:rPr>
        <w:rFonts w:ascii="Arial" w:hAnsi="Arial" w:hint="default"/>
      </w:rPr>
    </w:lvl>
    <w:lvl w:ilvl="4" w:tplc="5EEAC844" w:tentative="1">
      <w:start w:val="1"/>
      <w:numFmt w:val="bullet"/>
      <w:lvlText w:val="•"/>
      <w:lvlJc w:val="left"/>
      <w:pPr>
        <w:tabs>
          <w:tab w:val="num" w:pos="3600"/>
        </w:tabs>
        <w:ind w:left="3600" w:hanging="360"/>
      </w:pPr>
      <w:rPr>
        <w:rFonts w:ascii="Arial" w:hAnsi="Arial" w:hint="default"/>
      </w:rPr>
    </w:lvl>
    <w:lvl w:ilvl="5" w:tplc="94122596" w:tentative="1">
      <w:start w:val="1"/>
      <w:numFmt w:val="bullet"/>
      <w:lvlText w:val="•"/>
      <w:lvlJc w:val="left"/>
      <w:pPr>
        <w:tabs>
          <w:tab w:val="num" w:pos="4320"/>
        </w:tabs>
        <w:ind w:left="4320" w:hanging="360"/>
      </w:pPr>
      <w:rPr>
        <w:rFonts w:ascii="Arial" w:hAnsi="Arial" w:hint="default"/>
      </w:rPr>
    </w:lvl>
    <w:lvl w:ilvl="6" w:tplc="63E0ED86" w:tentative="1">
      <w:start w:val="1"/>
      <w:numFmt w:val="bullet"/>
      <w:lvlText w:val="•"/>
      <w:lvlJc w:val="left"/>
      <w:pPr>
        <w:tabs>
          <w:tab w:val="num" w:pos="5040"/>
        </w:tabs>
        <w:ind w:left="5040" w:hanging="360"/>
      </w:pPr>
      <w:rPr>
        <w:rFonts w:ascii="Arial" w:hAnsi="Arial" w:hint="default"/>
      </w:rPr>
    </w:lvl>
    <w:lvl w:ilvl="7" w:tplc="AD704232" w:tentative="1">
      <w:start w:val="1"/>
      <w:numFmt w:val="bullet"/>
      <w:lvlText w:val="•"/>
      <w:lvlJc w:val="left"/>
      <w:pPr>
        <w:tabs>
          <w:tab w:val="num" w:pos="5760"/>
        </w:tabs>
        <w:ind w:left="5760" w:hanging="360"/>
      </w:pPr>
      <w:rPr>
        <w:rFonts w:ascii="Arial" w:hAnsi="Arial" w:hint="default"/>
      </w:rPr>
    </w:lvl>
    <w:lvl w:ilvl="8" w:tplc="FDB4A03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E3433E2"/>
    <w:multiLevelType w:val="hybridMultilevel"/>
    <w:tmpl w:val="2EF26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C168AA"/>
    <w:multiLevelType w:val="hybridMultilevel"/>
    <w:tmpl w:val="24728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18"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9"/>
  </w:num>
  <w:num w:numId="3">
    <w:abstractNumId w:val="2"/>
  </w:num>
  <w:num w:numId="4">
    <w:abstractNumId w:val="1"/>
  </w:num>
  <w:num w:numId="5">
    <w:abstractNumId w:val="7"/>
  </w:num>
  <w:num w:numId="6">
    <w:abstractNumId w:val="16"/>
  </w:num>
  <w:num w:numId="7">
    <w:abstractNumId w:val="10"/>
  </w:num>
  <w:num w:numId="8">
    <w:abstractNumId w:val="19"/>
  </w:num>
  <w:num w:numId="9">
    <w:abstractNumId w:val="12"/>
  </w:num>
  <w:num w:numId="10">
    <w:abstractNumId w:val="0"/>
  </w:num>
  <w:num w:numId="11">
    <w:abstractNumId w:val="4"/>
  </w:num>
  <w:num w:numId="12">
    <w:abstractNumId w:val="17"/>
  </w:num>
  <w:num w:numId="13">
    <w:abstractNumId w:val="11"/>
  </w:num>
  <w:num w:numId="14">
    <w:abstractNumId w:val="3"/>
  </w:num>
  <w:num w:numId="15">
    <w:abstractNumId w:val="5"/>
  </w:num>
  <w:num w:numId="16">
    <w:abstractNumId w:val="13"/>
  </w:num>
  <w:num w:numId="17">
    <w:abstractNumId w:val="8"/>
  </w:num>
  <w:num w:numId="18">
    <w:abstractNumId w:val="14"/>
  </w:num>
  <w:num w:numId="19">
    <w:abstractNumId w:val="6"/>
  </w:num>
  <w:num w:numId="20">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4A5"/>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CB0"/>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2D87"/>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4C6"/>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44D"/>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32D"/>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77B"/>
    <w:rsid w:val="00175CD8"/>
    <w:rsid w:val="001762D4"/>
    <w:rsid w:val="00176645"/>
    <w:rsid w:val="00176ED6"/>
    <w:rsid w:val="00177943"/>
    <w:rsid w:val="00180811"/>
    <w:rsid w:val="0018082A"/>
    <w:rsid w:val="00180D92"/>
    <w:rsid w:val="0018148D"/>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1526"/>
    <w:rsid w:val="001A2124"/>
    <w:rsid w:val="001A225A"/>
    <w:rsid w:val="001A248E"/>
    <w:rsid w:val="001A2E9E"/>
    <w:rsid w:val="001A3853"/>
    <w:rsid w:val="001A38CD"/>
    <w:rsid w:val="001A391A"/>
    <w:rsid w:val="001A3E40"/>
    <w:rsid w:val="001A3E51"/>
    <w:rsid w:val="001A4272"/>
    <w:rsid w:val="001A442D"/>
    <w:rsid w:val="001A4E4E"/>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25F"/>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C67"/>
    <w:rsid w:val="00205DC1"/>
    <w:rsid w:val="00205F2A"/>
    <w:rsid w:val="002069D0"/>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953"/>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9F6"/>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0CA"/>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2ED1"/>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2EAA"/>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7D7"/>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29E4"/>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EB9"/>
    <w:rsid w:val="00343FE8"/>
    <w:rsid w:val="003447A5"/>
    <w:rsid w:val="00344F8D"/>
    <w:rsid w:val="00345022"/>
    <w:rsid w:val="00345BB2"/>
    <w:rsid w:val="00345F76"/>
    <w:rsid w:val="00346539"/>
    <w:rsid w:val="0034688E"/>
    <w:rsid w:val="00346A2E"/>
    <w:rsid w:val="00346B6E"/>
    <w:rsid w:val="003475C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1D0E"/>
    <w:rsid w:val="0036294F"/>
    <w:rsid w:val="0036408B"/>
    <w:rsid w:val="003642A6"/>
    <w:rsid w:val="00364347"/>
    <w:rsid w:val="003649D3"/>
    <w:rsid w:val="00365B13"/>
    <w:rsid w:val="00365D8F"/>
    <w:rsid w:val="0036634E"/>
    <w:rsid w:val="0036652C"/>
    <w:rsid w:val="00366BC8"/>
    <w:rsid w:val="0036717B"/>
    <w:rsid w:val="00367473"/>
    <w:rsid w:val="00370081"/>
    <w:rsid w:val="00371255"/>
    <w:rsid w:val="003716F5"/>
    <w:rsid w:val="0037170D"/>
    <w:rsid w:val="0037189D"/>
    <w:rsid w:val="00371C3B"/>
    <w:rsid w:val="00371D84"/>
    <w:rsid w:val="00372595"/>
    <w:rsid w:val="00372613"/>
    <w:rsid w:val="00372779"/>
    <w:rsid w:val="003727B6"/>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482"/>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1BD8"/>
    <w:rsid w:val="00392208"/>
    <w:rsid w:val="0039232F"/>
    <w:rsid w:val="003923CB"/>
    <w:rsid w:val="00392D42"/>
    <w:rsid w:val="00393754"/>
    <w:rsid w:val="00393B15"/>
    <w:rsid w:val="00393BF1"/>
    <w:rsid w:val="00394075"/>
    <w:rsid w:val="00394333"/>
    <w:rsid w:val="00394557"/>
    <w:rsid w:val="003946BF"/>
    <w:rsid w:val="00394A1B"/>
    <w:rsid w:val="003951F4"/>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780C"/>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1E08"/>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857"/>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001"/>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335"/>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250"/>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52D"/>
    <w:rsid w:val="004F4ED7"/>
    <w:rsid w:val="004F53B8"/>
    <w:rsid w:val="004F5835"/>
    <w:rsid w:val="004F5B88"/>
    <w:rsid w:val="004F5C6B"/>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7B3"/>
    <w:rsid w:val="00547846"/>
    <w:rsid w:val="005479AA"/>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603B3"/>
    <w:rsid w:val="00560419"/>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9E6"/>
    <w:rsid w:val="005C5A64"/>
    <w:rsid w:val="005C5ED7"/>
    <w:rsid w:val="005C5F96"/>
    <w:rsid w:val="005C6A95"/>
    <w:rsid w:val="005C6E40"/>
    <w:rsid w:val="005C730C"/>
    <w:rsid w:val="005C748C"/>
    <w:rsid w:val="005D0100"/>
    <w:rsid w:val="005D05E3"/>
    <w:rsid w:val="005D0890"/>
    <w:rsid w:val="005D100E"/>
    <w:rsid w:val="005D10BA"/>
    <w:rsid w:val="005D1447"/>
    <w:rsid w:val="005D15A7"/>
    <w:rsid w:val="005D186D"/>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09A"/>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75BA"/>
    <w:rsid w:val="00667912"/>
    <w:rsid w:val="006679FE"/>
    <w:rsid w:val="0067013D"/>
    <w:rsid w:val="0067024D"/>
    <w:rsid w:val="00670694"/>
    <w:rsid w:val="006706CD"/>
    <w:rsid w:val="006717A3"/>
    <w:rsid w:val="006719FE"/>
    <w:rsid w:val="00671C7D"/>
    <w:rsid w:val="00672309"/>
    <w:rsid w:val="00672326"/>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6F02"/>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3F5F"/>
    <w:rsid w:val="006840BB"/>
    <w:rsid w:val="006844CD"/>
    <w:rsid w:val="00684B81"/>
    <w:rsid w:val="00684D22"/>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42A"/>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28E"/>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3434"/>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88B"/>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2A8"/>
    <w:rsid w:val="007A13E6"/>
    <w:rsid w:val="007A27C8"/>
    <w:rsid w:val="007A28C3"/>
    <w:rsid w:val="007A2FB8"/>
    <w:rsid w:val="007A3167"/>
    <w:rsid w:val="007A3357"/>
    <w:rsid w:val="007A35F7"/>
    <w:rsid w:val="007A3BD5"/>
    <w:rsid w:val="007A44DC"/>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375"/>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28"/>
    <w:rsid w:val="007C2D4C"/>
    <w:rsid w:val="007C2DD7"/>
    <w:rsid w:val="007C3162"/>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20AB"/>
    <w:rsid w:val="007D214D"/>
    <w:rsid w:val="007D2172"/>
    <w:rsid w:val="007D2AA0"/>
    <w:rsid w:val="007D3A69"/>
    <w:rsid w:val="007D3B6C"/>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072"/>
    <w:rsid w:val="007F52BB"/>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53E"/>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5E82"/>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F96"/>
    <w:rsid w:val="008B5290"/>
    <w:rsid w:val="008B55FA"/>
    <w:rsid w:val="008B60A7"/>
    <w:rsid w:val="008B6D94"/>
    <w:rsid w:val="008B6FEB"/>
    <w:rsid w:val="008B77B0"/>
    <w:rsid w:val="008C09EB"/>
    <w:rsid w:val="008C15E1"/>
    <w:rsid w:val="008C178D"/>
    <w:rsid w:val="008C1912"/>
    <w:rsid w:val="008C19DE"/>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176C"/>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1F1F"/>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0EF"/>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1"/>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A43"/>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56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8F8"/>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1E2"/>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89A"/>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4822"/>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26E"/>
    <w:rsid w:val="00AA7933"/>
    <w:rsid w:val="00AA7B4F"/>
    <w:rsid w:val="00AA7F60"/>
    <w:rsid w:val="00AB0376"/>
    <w:rsid w:val="00AB071F"/>
    <w:rsid w:val="00AB0B0A"/>
    <w:rsid w:val="00AB1143"/>
    <w:rsid w:val="00AB1FCC"/>
    <w:rsid w:val="00AB2409"/>
    <w:rsid w:val="00AB2452"/>
    <w:rsid w:val="00AB290F"/>
    <w:rsid w:val="00AB35C3"/>
    <w:rsid w:val="00AB45B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577"/>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192"/>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3CF8"/>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BEB"/>
    <w:rsid w:val="00B63F20"/>
    <w:rsid w:val="00B641E3"/>
    <w:rsid w:val="00B64619"/>
    <w:rsid w:val="00B64AE9"/>
    <w:rsid w:val="00B64B2A"/>
    <w:rsid w:val="00B64E9E"/>
    <w:rsid w:val="00B652C8"/>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E12"/>
    <w:rsid w:val="00B760F4"/>
    <w:rsid w:val="00B764A3"/>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4E6"/>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367"/>
    <w:rsid w:val="00BA6446"/>
    <w:rsid w:val="00BA668E"/>
    <w:rsid w:val="00BA6CED"/>
    <w:rsid w:val="00BA6FAD"/>
    <w:rsid w:val="00BA70AC"/>
    <w:rsid w:val="00BA7235"/>
    <w:rsid w:val="00BA7D32"/>
    <w:rsid w:val="00BA7F5F"/>
    <w:rsid w:val="00BB045C"/>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3D7D"/>
    <w:rsid w:val="00BC401B"/>
    <w:rsid w:val="00BC5104"/>
    <w:rsid w:val="00BC5111"/>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3B6B"/>
    <w:rsid w:val="00BF4471"/>
    <w:rsid w:val="00BF522D"/>
    <w:rsid w:val="00BF5336"/>
    <w:rsid w:val="00BF5A34"/>
    <w:rsid w:val="00BF6271"/>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1E91"/>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0F54"/>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A6E"/>
    <w:rsid w:val="00C56D2D"/>
    <w:rsid w:val="00C56D48"/>
    <w:rsid w:val="00C5726B"/>
    <w:rsid w:val="00C572FB"/>
    <w:rsid w:val="00C5758D"/>
    <w:rsid w:val="00C57805"/>
    <w:rsid w:val="00C57C45"/>
    <w:rsid w:val="00C60425"/>
    <w:rsid w:val="00C60BE7"/>
    <w:rsid w:val="00C60C76"/>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A86"/>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4B"/>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50"/>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A75"/>
    <w:rsid w:val="00CD4BAB"/>
    <w:rsid w:val="00CD4C64"/>
    <w:rsid w:val="00CD4FA8"/>
    <w:rsid w:val="00CD5F26"/>
    <w:rsid w:val="00CD621D"/>
    <w:rsid w:val="00CD6536"/>
    <w:rsid w:val="00CD65E7"/>
    <w:rsid w:val="00CD6F9A"/>
    <w:rsid w:val="00CD7667"/>
    <w:rsid w:val="00CD7B81"/>
    <w:rsid w:val="00CE04BA"/>
    <w:rsid w:val="00CE0709"/>
    <w:rsid w:val="00CE08EE"/>
    <w:rsid w:val="00CE0B54"/>
    <w:rsid w:val="00CE0D5E"/>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B9"/>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305E3"/>
    <w:rsid w:val="00D30BCA"/>
    <w:rsid w:val="00D30E10"/>
    <w:rsid w:val="00D3219D"/>
    <w:rsid w:val="00D32EDB"/>
    <w:rsid w:val="00D33189"/>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5F1F"/>
    <w:rsid w:val="00D6605C"/>
    <w:rsid w:val="00D666F2"/>
    <w:rsid w:val="00D67582"/>
    <w:rsid w:val="00D67A8F"/>
    <w:rsid w:val="00D70678"/>
    <w:rsid w:val="00D70A08"/>
    <w:rsid w:val="00D70C56"/>
    <w:rsid w:val="00D71078"/>
    <w:rsid w:val="00D712E0"/>
    <w:rsid w:val="00D71834"/>
    <w:rsid w:val="00D72199"/>
    <w:rsid w:val="00D722E4"/>
    <w:rsid w:val="00D72741"/>
    <w:rsid w:val="00D72834"/>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CF2"/>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67E"/>
    <w:rsid w:val="00E70787"/>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CCC"/>
    <w:rsid w:val="00EA5EFD"/>
    <w:rsid w:val="00EA61F9"/>
    <w:rsid w:val="00EA6600"/>
    <w:rsid w:val="00EA6BD8"/>
    <w:rsid w:val="00EA6EEB"/>
    <w:rsid w:val="00EA7120"/>
    <w:rsid w:val="00EA7437"/>
    <w:rsid w:val="00EA7931"/>
    <w:rsid w:val="00EA7C0E"/>
    <w:rsid w:val="00EB0C5F"/>
    <w:rsid w:val="00EB1BA0"/>
    <w:rsid w:val="00EB1BBB"/>
    <w:rsid w:val="00EB281F"/>
    <w:rsid w:val="00EB2F05"/>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4D"/>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4C76"/>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11E"/>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423B"/>
    <w:rsid w:val="00F343E8"/>
    <w:rsid w:val="00F349F2"/>
    <w:rsid w:val="00F35578"/>
    <w:rsid w:val="00F3680A"/>
    <w:rsid w:val="00F3697A"/>
    <w:rsid w:val="00F37392"/>
    <w:rsid w:val="00F37B13"/>
    <w:rsid w:val="00F401B1"/>
    <w:rsid w:val="00F40A10"/>
    <w:rsid w:val="00F4140C"/>
    <w:rsid w:val="00F41B86"/>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49"/>
    <w:rsid w:val="00F65194"/>
    <w:rsid w:val="00F6553E"/>
    <w:rsid w:val="00F65631"/>
    <w:rsid w:val="00F658A1"/>
    <w:rsid w:val="00F65FFC"/>
    <w:rsid w:val="00F660BC"/>
    <w:rsid w:val="00F669B1"/>
    <w:rsid w:val="00F66BB4"/>
    <w:rsid w:val="00F66D26"/>
    <w:rsid w:val="00F66E86"/>
    <w:rsid w:val="00F671DB"/>
    <w:rsid w:val="00F6720C"/>
    <w:rsid w:val="00F679DA"/>
    <w:rsid w:val="00F703DB"/>
    <w:rsid w:val="00F7081F"/>
    <w:rsid w:val="00F7082C"/>
    <w:rsid w:val="00F70D81"/>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70"/>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A55"/>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BEE"/>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43"/>
    <w:rsid w:val="00FF26E4"/>
    <w:rsid w:val="00FF2B5B"/>
    <w:rsid w:val="00FF2FAB"/>
    <w:rsid w:val="00FF35D1"/>
    <w:rsid w:val="00FF36FB"/>
    <w:rsid w:val="00FF3A23"/>
    <w:rsid w:val="00FF3D60"/>
    <w:rsid w:val="00FF4005"/>
    <w:rsid w:val="00FF560E"/>
    <w:rsid w:val="00FF5AC9"/>
    <w:rsid w:val="00FF60E0"/>
    <w:rsid w:val="00FF63A0"/>
    <w:rsid w:val="00FF6718"/>
    <w:rsid w:val="00FF6AD1"/>
    <w:rsid w:val="00FF71B5"/>
    <w:rsid w:val="00FF73F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4577"/>
    <w:pPr>
      <w:spacing w:after="160" w:line="259" w:lineRule="auto"/>
    </w:pPr>
    <w:rPr>
      <w:rFonts w:asciiTheme="minorHAnsi" w:eastAsiaTheme="minorEastAsia" w:hAnsiTheme="minorHAnsi" w:cstheme="minorBidi"/>
      <w:sz w:val="22"/>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AD457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D457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8347343">
      <w:bodyDiv w:val="1"/>
      <w:marLeft w:val="0"/>
      <w:marRight w:val="0"/>
      <w:marTop w:val="0"/>
      <w:marBottom w:val="0"/>
      <w:divBdr>
        <w:top w:val="none" w:sz="0" w:space="0" w:color="auto"/>
        <w:left w:val="none" w:sz="0" w:space="0" w:color="auto"/>
        <w:bottom w:val="none" w:sz="0" w:space="0" w:color="auto"/>
        <w:right w:val="none" w:sz="0" w:space="0" w:color="auto"/>
      </w:divBdr>
      <w:divsChild>
        <w:div w:id="1586527634">
          <w:marLeft w:val="547"/>
          <w:marRight w:val="0"/>
          <w:marTop w:val="144"/>
          <w:marBottom w:val="0"/>
          <w:divBdr>
            <w:top w:val="none" w:sz="0" w:space="0" w:color="auto"/>
            <w:left w:val="none" w:sz="0" w:space="0" w:color="auto"/>
            <w:bottom w:val="none" w:sz="0" w:space="0" w:color="auto"/>
            <w:right w:val="none" w:sz="0" w:space="0" w:color="auto"/>
          </w:divBdr>
        </w:div>
        <w:div w:id="1586374989">
          <w:marLeft w:val="547"/>
          <w:marRight w:val="0"/>
          <w:marTop w:val="144"/>
          <w:marBottom w:val="0"/>
          <w:divBdr>
            <w:top w:val="none" w:sz="0" w:space="0" w:color="auto"/>
            <w:left w:val="none" w:sz="0" w:space="0" w:color="auto"/>
            <w:bottom w:val="none" w:sz="0" w:space="0" w:color="auto"/>
            <w:right w:val="none" w:sz="0" w:space="0" w:color="auto"/>
          </w:divBdr>
        </w:div>
        <w:div w:id="1530988731">
          <w:marLeft w:val="547"/>
          <w:marRight w:val="0"/>
          <w:marTop w:val="144"/>
          <w:marBottom w:val="0"/>
          <w:divBdr>
            <w:top w:val="none" w:sz="0" w:space="0" w:color="auto"/>
            <w:left w:val="none" w:sz="0" w:space="0" w:color="auto"/>
            <w:bottom w:val="none" w:sz="0" w:space="0" w:color="auto"/>
            <w:right w:val="none" w:sz="0" w:space="0" w:color="auto"/>
          </w:divBdr>
        </w:div>
        <w:div w:id="206331842">
          <w:marLeft w:val="547"/>
          <w:marRight w:val="0"/>
          <w:marTop w:val="144"/>
          <w:marBottom w:val="0"/>
          <w:divBdr>
            <w:top w:val="none" w:sz="0" w:space="0" w:color="auto"/>
            <w:left w:val="none" w:sz="0" w:space="0" w:color="auto"/>
            <w:bottom w:val="none" w:sz="0" w:space="0" w:color="auto"/>
            <w:right w:val="none" w:sz="0" w:space="0" w:color="auto"/>
          </w:divBdr>
        </w:div>
        <w:div w:id="726104912">
          <w:marLeft w:val="547"/>
          <w:marRight w:val="0"/>
          <w:marTop w:val="144"/>
          <w:marBottom w:val="0"/>
          <w:divBdr>
            <w:top w:val="none" w:sz="0" w:space="0" w:color="auto"/>
            <w:left w:val="none" w:sz="0" w:space="0" w:color="auto"/>
            <w:bottom w:val="none" w:sz="0" w:space="0" w:color="auto"/>
            <w:right w:val="none" w:sz="0" w:space="0" w:color="auto"/>
          </w:divBdr>
        </w:div>
      </w:divsChild>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482093">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C6D9D2-4837-4A76-838E-FE63A2077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587</Words>
  <Characters>3349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2020-04-10T15:25:00Z</dcterms:created>
  <dcterms:modified xsi:type="dcterms:W3CDTF">2020-05-15T07:43:00Z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